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284"/>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附件</w:t>
      </w:r>
      <w:r>
        <w:rPr>
          <w:rFonts w:hint="eastAsia" w:ascii="微软雅黑" w:hAnsi="微软雅黑" w:eastAsia="微软雅黑" w:cs="微软雅黑"/>
          <w:kern w:val="0"/>
          <w:sz w:val="18"/>
          <w:szCs w:val="18"/>
          <w:lang w:val="en-US" w:eastAsia="zh-CN"/>
        </w:rPr>
        <w:t>二</w:t>
      </w:r>
      <w:r>
        <w:rPr>
          <w:rFonts w:hint="eastAsia" w:ascii="微软雅黑" w:hAnsi="微软雅黑" w:eastAsia="微软雅黑" w:cs="微软雅黑"/>
          <w:kern w:val="0"/>
          <w:sz w:val="18"/>
          <w:szCs w:val="18"/>
        </w:rPr>
        <w:t>：经济与管理学院SEM-SITP教师立项申请表</w:t>
      </w:r>
      <w:bookmarkStart w:id="0" w:name="_GoBack"/>
      <w:bookmarkEnd w:id="0"/>
    </w:p>
    <w:p>
      <w:pPr>
        <w:rPr>
          <w:rFonts w:hint="eastAsia" w:ascii="微软雅黑" w:hAnsi="微软雅黑" w:eastAsia="微软雅黑" w:cs="微软雅黑"/>
          <w:sz w:val="18"/>
          <w:szCs w:val="18"/>
        </w:rPr>
      </w:pPr>
    </w:p>
    <w:p>
      <w:pPr>
        <w:autoSpaceDE w:val="0"/>
        <w:autoSpaceDN w:val="0"/>
        <w:adjustRightInd w:val="0"/>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经济与管理学院SEM-SITP教师立项申请表</w:t>
      </w:r>
    </w:p>
    <w:tbl>
      <w:tblPr>
        <w:tblStyle w:val="5"/>
        <w:tblW w:w="14448" w:type="dxa"/>
        <w:tblInd w:w="0" w:type="dxa"/>
        <w:tblLayout w:type="fixed"/>
        <w:tblCellMar>
          <w:top w:w="15" w:type="dxa"/>
          <w:left w:w="15" w:type="dxa"/>
          <w:bottom w:w="15" w:type="dxa"/>
          <w:right w:w="15" w:type="dxa"/>
        </w:tblCellMar>
      </w:tblPr>
      <w:tblGrid>
        <w:gridCol w:w="957"/>
        <w:gridCol w:w="1701"/>
        <w:gridCol w:w="4259"/>
        <w:gridCol w:w="1575"/>
        <w:gridCol w:w="1635"/>
        <w:gridCol w:w="2070"/>
        <w:gridCol w:w="1185"/>
        <w:gridCol w:w="1066"/>
      </w:tblGrid>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bCs w:val="0"/>
                <w:color w:val="000000"/>
                <w:kern w:val="0"/>
                <w:sz w:val="18"/>
                <w:szCs w:val="18"/>
                <w:lang w:val="en-US" w:eastAsia="zh-CN"/>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项目</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color w:val="000000"/>
                <w:kern w:val="0"/>
                <w:sz w:val="18"/>
                <w:szCs w:val="18"/>
              </w:rPr>
              <w:t>名称</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项目简介</w:t>
            </w:r>
          </w:p>
          <w:p>
            <w:pPr>
              <w:widowControl/>
              <w:jc w:val="center"/>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color w:val="000000"/>
                <w:kern w:val="0"/>
                <w:sz w:val="18"/>
                <w:szCs w:val="18"/>
              </w:rPr>
              <w:t>（300字以内）</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项目</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color w:val="000000"/>
                <w:kern w:val="0"/>
                <w:sz w:val="18"/>
                <w:szCs w:val="18"/>
              </w:rPr>
              <w:t>来源</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项目负责人</w:t>
            </w:r>
          </w:p>
          <w:p>
            <w:pPr>
              <w:jc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sz w:val="18"/>
                <w:szCs w:val="18"/>
              </w:rPr>
              <w:t>及职称</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联系</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color w:val="000000"/>
                <w:kern w:val="0"/>
                <w:sz w:val="18"/>
                <w:szCs w:val="18"/>
              </w:rPr>
              <w:t>邮箱</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000000"/>
                <w:kern w:val="0"/>
                <w:sz w:val="18"/>
                <w:szCs w:val="18"/>
              </w:rPr>
            </w:pPr>
            <w:r>
              <w:rPr>
                <w:rFonts w:hint="eastAsia" w:ascii="微软雅黑" w:hAnsi="微软雅黑" w:eastAsia="微软雅黑" w:cs="微软雅黑"/>
                <w:b/>
                <w:color w:val="000000"/>
                <w:kern w:val="0"/>
                <w:sz w:val="18"/>
                <w:szCs w:val="18"/>
              </w:rPr>
              <w:t>办公</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color w:val="000000"/>
                <w:kern w:val="0"/>
                <w:sz w:val="18"/>
                <w:szCs w:val="18"/>
              </w:rPr>
              <w:t>地点</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备</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color w:val="000000"/>
                <w:sz w:val="18"/>
                <w:szCs w:val="18"/>
              </w:rPr>
              <w:t>注</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监察法实施背景下审计机关与监察机关的边界与协同研究</w:t>
            </w:r>
          </w:p>
          <w:p>
            <w:pPr>
              <w:widowControl/>
              <w:jc w:val="center"/>
              <w:textAlignment w:val="center"/>
              <w:rPr>
                <w:rFonts w:hint="eastAsia" w:ascii="微软雅黑" w:hAnsi="微软雅黑" w:eastAsia="微软雅黑" w:cs="微软雅黑"/>
                <w:b w:val="0"/>
                <w:bCs/>
                <w:color w:val="000000"/>
                <w:kern w:val="0"/>
                <w:sz w:val="18"/>
                <w:szCs w:val="18"/>
              </w:rPr>
            </w:pP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监察监督与审计监督并列为六大监督，2018年表决通过的《中华人民共和国监察法》成为推动我国监察体制改革的重要一环。审计与监察在职能权限方面存在密切联系，监察体制改革也引起国家审计制度变革。监察机关与审计机关的关系成为重要的研究课题，传统研究监督与审计的关系多以从法律、历史、政治等视角切入，鲜有从会计、审计的视角出发，研究结果易和实际业务脱节。本研究从审计实务角度出发，通过实地调研、案例分析和文献研究，基于审计与监察的差异及相互交融性，回答我国监察机关和审计机关应该实行监审合一还是监审独立的问题，研究监督机构和审计机构的边界及其再界定，明确审计机关和监察机关应该如何协作从而实现协同配合。</w:t>
            </w:r>
          </w:p>
          <w:p>
            <w:pPr>
              <w:widowControl/>
              <w:jc w:val="center"/>
              <w:textAlignment w:val="center"/>
              <w:rPr>
                <w:rFonts w:hint="eastAsia" w:ascii="微软雅黑" w:hAnsi="微软雅黑" w:eastAsia="微软雅黑" w:cs="微软雅黑"/>
                <w:b w:val="0"/>
                <w:bCs/>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上海市哲学社会规划课题</w:t>
            </w:r>
          </w:p>
          <w:p>
            <w:pPr>
              <w:widowControl/>
              <w:jc w:val="center"/>
              <w:textAlignment w:val="center"/>
              <w:rPr>
                <w:rFonts w:hint="eastAsia" w:ascii="微软雅黑" w:hAnsi="微软雅黑" w:eastAsia="微软雅黑" w:cs="微软雅黑"/>
                <w:b w:val="0"/>
                <w:bCs/>
                <w:color w:val="000000"/>
                <w:kern w:val="0"/>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王玉馨</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讲师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Wang_y_x@sina.com</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A-930</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数字素养对网购渠道选择的影响</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ind w:firstLine="360" w:firstLineChars="200"/>
              <w:jc w:val="center"/>
              <w:textAlignment w:val="center"/>
              <w:rPr>
                <w:rFonts w:hint="eastAsia" w:ascii="微软雅黑" w:hAnsi="微软雅黑" w:eastAsia="微软雅黑" w:cs="微软雅黑"/>
                <w:b w:val="0"/>
                <w:bCs/>
                <w:color w:val="000000"/>
                <w:kern w:val="0"/>
                <w:sz w:val="18"/>
                <w:szCs w:val="18"/>
              </w:rPr>
            </w:pP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受到疫情的影响，大量生产和消费活动从线下转移到线上，直播等新兴网络购物渠道发展迅速，消费者的购买途径日益增加。与此同时，线上购物作为一种互联网经济，与消费者批判性地、高效地使用信息技术的能力密切相关，而这种能力的不同会影响到消费者最终的购买选择。因此，本研究旨在探究数字素养是如何影响消费者对网购渠道选择。</w:t>
            </w:r>
          </w:p>
          <w:p>
            <w:pPr>
              <w:widowControl/>
              <w:ind w:firstLine="360" w:firstLineChars="200"/>
              <w:jc w:val="center"/>
              <w:textAlignment w:val="center"/>
              <w:rPr>
                <w:rFonts w:hint="eastAsia" w:ascii="微软雅黑" w:hAnsi="微软雅黑" w:eastAsia="微软雅黑" w:cs="微软雅黑"/>
                <w:b w:val="0"/>
                <w:bCs/>
                <w:color w:val="000000"/>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自拟</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王玉馨</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讲师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Wang_y_x@sina.com</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A930</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数字素养对网购渠道选择的影响</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eastAsia="zh-CN"/>
              </w:rPr>
            </w:pPr>
            <w:r>
              <w:rPr>
                <w:rFonts w:hint="eastAsia" w:ascii="微软雅黑" w:hAnsi="微软雅黑" w:eastAsia="微软雅黑" w:cs="微软雅黑"/>
                <w:b w:val="0"/>
                <w:bCs/>
                <w:color w:val="000000"/>
                <w:kern w:val="0"/>
                <w:sz w:val="18"/>
                <w:szCs w:val="18"/>
                <w:lang w:val="en-US" w:eastAsia="zh-CN"/>
              </w:rPr>
              <w:t>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人工智能与管理会计转型</w:t>
            </w:r>
          </w:p>
        </w:tc>
        <w:tc>
          <w:tcPr>
            <w:tcW w:w="4259" w:type="dxa"/>
            <w:tcBorders>
              <w:top w:val="single" w:color="000000" w:sz="4" w:space="0"/>
              <w:left w:val="single" w:color="000000" w:sz="4" w:space="0"/>
              <w:bottom w:val="single" w:color="000000" w:sz="4" w:space="0"/>
              <w:right w:val="single" w:color="000000" w:sz="4" w:space="0"/>
            </w:tcBorders>
            <w:vAlign w:val="center"/>
          </w:tcPr>
          <w:p>
            <w:pPr>
              <w:ind w:firstLine="270" w:firstLineChars="150"/>
              <w:jc w:val="center"/>
              <w:rPr>
                <w:rFonts w:hint="eastAsia" w:ascii="微软雅黑" w:hAnsi="微软雅黑" w:eastAsia="微软雅黑" w:cs="微软雅黑"/>
                <w:b w:val="0"/>
                <w:bCs/>
                <w:sz w:val="18"/>
                <w:szCs w:val="18"/>
              </w:rPr>
            </w:pPr>
          </w:p>
          <w:p>
            <w:pPr>
              <w:jc w:val="both"/>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随着市场经济全球化进程的不断加快，人工智能技术已经渗透到各个领域。在人工智能、云技术、区块链飞速发展的背景下，财务会计应与时俱进，转型为管理会计已是大势所趋，使得财务部门和采购、销售、生产、质量等部门有机结合在一起，互相促进、互相监督，并将管理会计工作落实到企业的各个部门，从而实现企业内部各个资源的完美融合，实现财务管理和业务管理的相辅相成，提高企业的核心竞争力。本项目探讨人工智能时代和大数据背景下财务会计向管理会计转型的现实意义，并提出转型的策略，旨在为会计人员提供参考和帮助。</w:t>
            </w:r>
          </w:p>
          <w:p>
            <w:pPr>
              <w:ind w:firstLine="270" w:firstLineChars="150"/>
              <w:jc w:val="center"/>
              <w:rPr>
                <w:rFonts w:hint="eastAsia" w:ascii="微软雅黑" w:hAnsi="微软雅黑" w:eastAsia="微软雅黑" w:cs="微软雅黑"/>
                <w:b w:val="0"/>
                <w:bCs/>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于团叶</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Yuty15@tongji.edu.cn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同济大厦A楼937室</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tc>
      </w:tr>
      <w:tr>
        <w:tblPrEx>
          <w:tblCellMar>
            <w:top w:w="15" w:type="dxa"/>
            <w:left w:w="15" w:type="dxa"/>
            <w:bottom w:w="15" w:type="dxa"/>
            <w:right w:w="15" w:type="dxa"/>
          </w:tblCellMar>
        </w:tblPrEx>
        <w:trPr>
          <w:trHeight w:val="3203"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eastAsia="zh-CN"/>
              </w:rPr>
            </w:pPr>
            <w:r>
              <w:rPr>
                <w:rFonts w:hint="eastAsia" w:ascii="微软雅黑" w:hAnsi="微软雅黑" w:eastAsia="微软雅黑" w:cs="微软雅黑"/>
                <w:b w:val="0"/>
                <w:bCs/>
                <w:color w:val="000000"/>
                <w:kern w:val="0"/>
                <w:sz w:val="18"/>
                <w:szCs w:val="18"/>
                <w:lang w:val="en-US" w:eastAsia="zh-CN"/>
              </w:rPr>
              <w:t>4</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基于产学研视角的会计人才培养模式创新研究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sz w:val="18"/>
                <w:szCs w:val="18"/>
              </w:rPr>
              <w:t>产学研即高校、科研院所与企业在人才培养与输出、科技成果转换等方面开展广泛深入的合作, 通过该模式使得会计专业的学生将会计理论研究成果转化到企业实践中, 进而结合理论研究知识和实践经验, 为会计学科知识体系补充新要素。产学研三者良性互动, 为创新会计人才培养模式注入新的活力。通过该项目的研究，将企业对会计人才需求的职业标准融入教学标准中，使得企业的职业标准、教学标准、人才培养三者融合，做到人才培养与企业岗位需求有效对接。</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于团叶</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Yuty15@tongji.edu.cn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同济大厦A楼937室</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5</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高管可信任度和报表审计</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本项目以首席执行官CEO和首席财务官CFO为研究对象，考察他们的可信任程度和报表审计费用的关系。根据研究文献，CEO或者CFO是否是当地人可能显著影响他们的公司决策，影响到公司报表的信息质量，因此是衡量他们是否可信的一个关键变量。为获取该变量，需要手动获取高管出生地信息。</w:t>
            </w:r>
          </w:p>
          <w:p>
            <w:pPr>
              <w:widowControl/>
              <w:jc w:val="center"/>
              <w:textAlignment w:val="center"/>
              <w:rPr>
                <w:rFonts w:hint="eastAsia" w:ascii="微软雅黑" w:hAnsi="微软雅黑" w:eastAsia="微软雅黑" w:cs="微软雅黑"/>
                <w:b w:val="0"/>
                <w:bCs/>
                <w:color w:val="000000"/>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自拟</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蔡宇</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讲师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caiyu@tongji.edu.cn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A楼902</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高管可信任度和报表审计</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6</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基于“课程思政”的财务管理类课程教学改革探索</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p>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课程思政”，是将思想政治教育融入课程教育的各方面、各环节，实现通识课、专业课与德育教育的有机融合，在“润物细无声”的知识学习中融入理想信念层面的精神指引。在财务管理类课程教学过程中，应充分挖掘专业课中的科学精神、价值观念、人文情怀、高尚品质等德育功能，力争建立全员育人、全过程育人的“大思政”格局，寻求从思政课程到课程思政是教育价值的理性回归。那么从学生的视角，基于“课程思政”的财务管理类课程教学改革，是否有其必要性？应该改什么？如何改？通过该项目研究，为我校财务管理类课程教学贯彻“立德树人”教育思想提供一定的指导，丰富并提高人才培养实践水平。</w:t>
            </w:r>
          </w:p>
          <w:p>
            <w:pPr>
              <w:widowControl/>
              <w:jc w:val="both"/>
              <w:textAlignment w:val="center"/>
              <w:rPr>
                <w:rFonts w:hint="eastAsia" w:ascii="微软雅黑" w:hAnsi="微软雅黑" w:eastAsia="微软雅黑" w:cs="微软雅黑"/>
                <w:b w:val="0"/>
                <w:bCs/>
                <w:color w:val="000000"/>
                <w:kern w:val="0"/>
                <w:sz w:val="18"/>
                <w:szCs w:val="18"/>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 xml:space="preserve">   自定</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ind w:firstLine="360" w:firstLineChars="200"/>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佟爱琴</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副教授</w:t>
            </w:r>
            <w:r>
              <w:rPr>
                <w:rFonts w:hint="eastAsia" w:ascii="微软雅黑" w:hAnsi="微软雅黑" w:eastAsia="微软雅黑" w:cs="微软雅黑"/>
                <w:b w:val="0"/>
                <w:bCs/>
                <w:color w:val="000000"/>
                <w:kern w:val="0"/>
                <w:sz w:val="18"/>
                <w:szCs w:val="18"/>
                <w:lang w:val="en-US" w:eastAsia="zh-CN"/>
              </w:rPr>
              <w:tab/>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tong5092@sina.com</w:t>
            </w:r>
            <w:r>
              <w:rPr>
                <w:rFonts w:hint="eastAsia" w:ascii="微软雅黑" w:hAnsi="微软雅黑" w:eastAsia="微软雅黑" w:cs="微软雅黑"/>
                <w:b w:val="0"/>
                <w:bCs/>
                <w:color w:val="000000"/>
                <w:kern w:val="0"/>
                <w:sz w:val="18"/>
                <w:szCs w:val="18"/>
                <w:lang w:val="en-US" w:eastAsia="zh-CN"/>
              </w:rPr>
              <w:tab/>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同济大厦A楼1015室</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适于经管学院经济大类和管理大类类专业的所有学生,尤其是会计专业的学生</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7</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上汽大通：C2B模式下的业财融合探索之道</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p>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上汽大通坚持“科技、信赖、进取”的品牌核心价值，在汽车行业中开创了C2B业务模式，开展个性化产品定制、智能化制造，通过业务模式和商业模式创新变革，致力于提供具有全球竞争力的汽车产品和生活服务，以寻求新的增长空间为用户创造价值。据中国汽车流通协会发布的2018年12月中国汽车经销商库存预警指数调查报告VIA，2018年全年的数据，连续12个月经销商库存预警指数均在50%警戒线之上，库存屡创新高倒逼车企调整，供给侧改革已是必然之路。在C2B模式下，探索通过智能财务和大数据财务，实现上汽大通的业财融合之道，具有较强的实践价值。</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 xml:space="preserve">   自定</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ind w:firstLine="360" w:firstLineChars="200"/>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佟爱琴</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副教授</w:t>
            </w:r>
            <w:r>
              <w:rPr>
                <w:rFonts w:hint="eastAsia" w:ascii="微软雅黑" w:hAnsi="微软雅黑" w:eastAsia="微软雅黑" w:cs="微软雅黑"/>
                <w:b w:val="0"/>
                <w:bCs/>
                <w:color w:val="000000"/>
                <w:kern w:val="0"/>
                <w:sz w:val="18"/>
                <w:szCs w:val="18"/>
                <w:lang w:val="en-US" w:eastAsia="zh-CN"/>
              </w:rPr>
              <w:tab/>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tong5092@sina.com</w:t>
            </w:r>
            <w:r>
              <w:rPr>
                <w:rFonts w:hint="eastAsia" w:ascii="微软雅黑" w:hAnsi="微软雅黑" w:eastAsia="微软雅黑" w:cs="微软雅黑"/>
                <w:b w:val="0"/>
                <w:bCs/>
                <w:color w:val="000000"/>
                <w:kern w:val="0"/>
                <w:sz w:val="18"/>
                <w:szCs w:val="18"/>
                <w:lang w:val="en-US" w:eastAsia="zh-CN"/>
              </w:rPr>
              <w:tab/>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同济大厦A楼1015室</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适于经管学院经济大类和管理大类类专业的学生，尤其是会计专业的学生</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8</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我国新经济企业发展的可持续性研究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p>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中国的新经济企业近年来飞速发展，尤其是电商企业、互联网金融企业的发展领跑世界，是我国新经济企业的代表。这些新经济企业在我国发展的原因、产生的影响等等问题是一个值得探究的课题。特别是蚂蚁集团暂停上市引发的思考，也使得新经济企业要重新审视自身发展的可持续性。本课题将从企业微观财务数据以及宏观经济二个视角来探究新经济企业发展的动因并判断其可持续性，分析当前我国新经济企业面临的问题，并对新经济企业的可持续发展提出建议。</w:t>
            </w:r>
          </w:p>
          <w:p>
            <w:pPr>
              <w:widowControl/>
              <w:jc w:val="both"/>
              <w:textAlignment w:val="center"/>
              <w:rPr>
                <w:rFonts w:hint="eastAsia" w:ascii="微软雅黑" w:hAnsi="微软雅黑" w:eastAsia="微软雅黑" w:cs="微软雅黑"/>
                <w:b w:val="0"/>
                <w:bCs/>
                <w:color w:val="000000"/>
                <w:kern w:val="0"/>
                <w:sz w:val="18"/>
                <w:szCs w:val="18"/>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自拟</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唐伟</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90739@tongji.edu.cn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A927</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我国新经济企业发展的可持续性研究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9</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城市可持续发展指数研究及应用</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333333"/>
                <w:sz w:val="18"/>
                <w:szCs w:val="18"/>
                <w:shd w:val="clear" w:color="auto" w:fill="FFFFFF"/>
              </w:rPr>
              <w:t>全球可持续发展目标(SDGs)明确指出了2015—2030年全球发展的目标和方向。为了对可持续发展进程</w:t>
            </w:r>
            <w:r>
              <w:rPr>
                <w:rFonts w:hint="eastAsia" w:ascii="微软雅黑" w:hAnsi="微软雅黑" w:eastAsia="微软雅黑" w:cs="微软雅黑"/>
                <w:b w:val="0"/>
                <w:bCs/>
                <w:color w:val="000000"/>
                <w:kern w:val="0"/>
                <w:sz w:val="18"/>
                <w:szCs w:val="18"/>
              </w:rPr>
              <w:t>进行系统性的科学评估，急需构建权威性、科学性的城市可持续发展指数来帮助城市管理者和实践者更好的推动城市可持续发展。为此需要在 《联合国2030可持续发展议程》和《新城市议程》提出的目标及要求下构建全球城市可持续发展指数（“上海指数”）并进行推广应用。本项目要求学生对2015年SDGS提出以来，全球围绕SDG开展的研究运用citespace工具做一个图谱分析，并分析可持续发展的评价指标设计、指数计算的方法和指数的应用。</w:t>
            </w:r>
          </w:p>
          <w:p>
            <w:pPr>
              <w:widowControl/>
              <w:jc w:val="center"/>
              <w:textAlignment w:val="center"/>
              <w:rPr>
                <w:rFonts w:hint="eastAsia" w:ascii="微软雅黑" w:hAnsi="微软雅黑" w:eastAsia="微软雅黑" w:cs="微软雅黑"/>
                <w:b w:val="0"/>
                <w:bCs/>
                <w:color w:val="000000"/>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自拟</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许洁</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讲师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tjxujie@tongji.edu.cn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1412-3</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城市可持续发展指数研究及应用</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全球可持续发展智库研究的知识图谱分析及启示</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智库作为国家软实力的重要组成部分，是国家治理的重要支撑力量，在国家治理体系和治理能力现代化建设中有着不可或缺的独特作用。习总书记提出，可持续发展是解决全球人类问题的金钥匙。本项目研究旨在通过大数据分析方法，呈现全球可持续发展智库研究内容的发展脉络和知识流动，为深入开展可持续发展研究和国际交流提供基础。</w:t>
            </w:r>
          </w:p>
          <w:p>
            <w:pPr>
              <w:widowControl/>
              <w:jc w:val="both"/>
              <w:textAlignment w:val="center"/>
              <w:rPr>
                <w:rFonts w:hint="eastAsia" w:ascii="微软雅黑" w:hAnsi="微软雅黑" w:eastAsia="微软雅黑" w:cs="微软雅黑"/>
                <w:b w:val="0"/>
                <w:bCs/>
                <w:color w:val="000000"/>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自拟</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许洁</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讲师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tjxujie@tongji.edu.cn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1412-3</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全球可持续发展智库研究的知识图谱分析及启示</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全球著名商学院产学研协同机制研究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教学和科研是一流商学院建设的两大支柱。国际一流商学院在学科建设中通过教学和科研的协同，取得了快速的发展。本研究通过访问著名商学院网站，梳理这些一流商学院的课程、项目和科研的等开展情况，探索一流商学院在教学、科研方面的学科协同、教研协同、院际外协同、院企协同、国际协同等协同机制和运行。</w:t>
            </w:r>
          </w:p>
          <w:p>
            <w:pPr>
              <w:widowControl/>
              <w:jc w:val="center"/>
              <w:textAlignment w:val="center"/>
              <w:rPr>
                <w:rFonts w:hint="eastAsia" w:ascii="微软雅黑" w:hAnsi="微软雅黑" w:eastAsia="微软雅黑" w:cs="微软雅黑"/>
                <w:b w:val="0"/>
                <w:bCs/>
                <w:color w:val="000000"/>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自拟</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许洁</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讲师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tjxujie@tongji.edu.cn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1412-3</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全球著名商学院产学研协同机制研究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color w:val="000000"/>
                <w:kern w:val="0"/>
                <w:sz w:val="18"/>
                <w:szCs w:val="18"/>
              </w:rPr>
              <w:t>上海高校学生参与“时间银行”志愿服务激励机制研究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191919"/>
                <w:sz w:val="18"/>
                <w:szCs w:val="18"/>
                <w:shd w:val="clear" w:color="auto" w:fill="FFFFFF"/>
              </w:rPr>
            </w:pPr>
          </w:p>
          <w:p>
            <w:pPr>
              <w:widowControl/>
              <w:jc w:val="left"/>
              <w:textAlignment w:val="center"/>
              <w:rPr>
                <w:rFonts w:hint="eastAsia" w:ascii="微软雅黑" w:hAnsi="微软雅黑" w:eastAsia="微软雅黑" w:cs="微软雅黑"/>
                <w:color w:val="191919"/>
                <w:sz w:val="18"/>
                <w:szCs w:val="18"/>
              </w:rPr>
            </w:pPr>
            <w:r>
              <w:rPr>
                <w:rFonts w:hint="eastAsia" w:ascii="微软雅黑" w:hAnsi="微软雅黑" w:eastAsia="微软雅黑" w:cs="微软雅黑"/>
                <w:color w:val="191919"/>
                <w:sz w:val="18"/>
                <w:szCs w:val="18"/>
                <w:shd w:val="clear" w:color="auto" w:fill="FFFFFF"/>
              </w:rPr>
              <w:t>作为深度老龄化的城市，上海市民政局于2019年推出养老服务“时间银行”项目试点。该</w:t>
            </w:r>
            <w:r>
              <w:rPr>
                <w:rFonts w:hint="eastAsia" w:ascii="微软雅黑" w:hAnsi="微软雅黑" w:eastAsia="微软雅黑" w:cs="微软雅黑"/>
                <w:color w:val="191919"/>
                <w:sz w:val="18"/>
                <w:szCs w:val="18"/>
              </w:rPr>
              <w:t>项目是整个养老服务体系中的辅助性组成部分，主要由志愿者提供非专业性、非家政类（如保洁、做饭、洗衣等）且风险可控的服务，包括情感慰藉、协助服务、出行陪伴、文体活动、健康科普、法律援助、培训讲座、指导防范金融和网络风险等。目前提供服务的志愿者以低龄老年群体为主。如何将年轻人吸引到这一养老服务创新模式之中，以使该模式更具可持续性是亟待解决的问题。因此了解年轻人参与“时间银行”志愿服务的意愿和激励需求至关重要。本项目聚焦于上海年轻人中的高校学生群体，探索有利于高校学生参与“时间银行”志愿服务的激励机制。</w:t>
            </w:r>
          </w:p>
          <w:p>
            <w:pPr>
              <w:widowControl/>
              <w:jc w:val="left"/>
              <w:textAlignment w:val="center"/>
              <w:rPr>
                <w:rFonts w:hint="eastAsia" w:ascii="微软雅黑" w:hAnsi="微软雅黑" w:eastAsia="微软雅黑" w:cs="微软雅黑"/>
                <w:color w:val="191919"/>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color w:val="000000"/>
                <w:kern w:val="0"/>
                <w:sz w:val="18"/>
                <w:szCs w:val="18"/>
              </w:rPr>
              <w:t>自选</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杨蓓蕾</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color w:val="000000"/>
                <w:kern w:val="0"/>
                <w:sz w:val="18"/>
                <w:szCs w:val="18"/>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color w:val="000000"/>
                <w:kern w:val="0"/>
                <w:sz w:val="18"/>
                <w:szCs w:val="18"/>
              </w:rPr>
              <w:t>yblei@vip.163.com</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color w:val="000000"/>
                <w:kern w:val="0"/>
                <w:sz w:val="18"/>
                <w:szCs w:val="18"/>
              </w:rPr>
              <w:t>同济大厦A楼1118</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color w:val="000000"/>
                <w:kern w:val="0"/>
                <w:sz w:val="18"/>
                <w:szCs w:val="18"/>
              </w:rPr>
              <w:t>上海高校学生参与“时间银行”志愿服务激励机制研究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现代企业制度的发展与创新</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现代企业制度的发展与创新研究，要求理论结合实际，以资料研究和二手调研为主要调研手段、定性分析为主要分析方法，充分掌握现代企业制度的来龙去脉，分析我国改革开放以来现代企业制度的发展和创新模式，研究探讨现代企业制度的实践应用。</w:t>
            </w:r>
          </w:p>
          <w:p>
            <w:pPr>
              <w:widowControl/>
              <w:jc w:val="both"/>
              <w:textAlignment w:val="center"/>
              <w:rPr>
                <w:rFonts w:hint="eastAsia" w:ascii="微软雅黑" w:hAnsi="微软雅黑" w:eastAsia="微软雅黑" w:cs="微软雅黑"/>
                <w:b w:val="0"/>
                <w:bCs/>
                <w:color w:val="000000"/>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经济与管理学院</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蓝峻</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讲师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lanjun@tongji.edu.cn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同济大学经济与管理学院</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14</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sz w:val="18"/>
                <w:szCs w:val="18"/>
              </w:rPr>
              <w:t>同济大学智慧校园建设研究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sz w:val="18"/>
                <w:szCs w:val="18"/>
              </w:rPr>
            </w:pP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在高校信息化的趋势下，智慧校园的概念应运而生。疫情期间，线上学习方式成为主流，智慧校园也得到了空前的重视，很多高校都建立了各自的智慧校园体系。然而，部分高校的智慧校园建设未能以充分的前期考察为支撑,还有些高校存在信息化不充分的情况，使得智慧校园体系的成效大打折扣。因此有必要对同济及其它高校的智慧校园建设情况进行调研，以总结智慧校园建设的成功经验、发现智慧校园建设可能存在的问题，提出建设方案。</w:t>
            </w:r>
          </w:p>
          <w:p>
            <w:pPr>
              <w:rPr>
                <w:rFonts w:hint="eastAsia" w:ascii="微软雅黑" w:hAnsi="微软雅黑" w:eastAsia="微软雅黑" w:cs="微软雅黑"/>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自拟</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李海英</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讲师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lhytj78@163.com</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A楼</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835室</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sz w:val="18"/>
                <w:szCs w:val="18"/>
              </w:rPr>
              <w:t>同济大学智慧校园建设研究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15</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上海户口价值研究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pStyle w:val="4"/>
              <w:spacing w:before="0" w:beforeAutospacing="0" w:after="0" w:afterAutospacing="0"/>
              <w:rPr>
                <w:rFonts w:hint="eastAsia" w:ascii="微软雅黑" w:hAnsi="微软雅黑" w:eastAsia="微软雅黑" w:cs="微软雅黑"/>
                <w:sz w:val="18"/>
                <w:szCs w:val="18"/>
              </w:rPr>
            </w:pPr>
          </w:p>
          <w:p>
            <w:pPr>
              <w:pStyle w:val="4"/>
              <w:spacing w:before="0" w:beforeAutospacing="0" w:after="0" w:afterAutospacing="0"/>
              <w:rPr>
                <w:rFonts w:hint="eastAsia" w:ascii="微软雅黑" w:hAnsi="微软雅黑" w:eastAsia="微软雅黑" w:cs="微软雅黑"/>
                <w:sz w:val="18"/>
                <w:szCs w:val="18"/>
              </w:rPr>
            </w:pPr>
            <w:r>
              <w:rPr>
                <w:rFonts w:hint="eastAsia" w:ascii="微软雅黑" w:hAnsi="微软雅黑" w:eastAsia="微软雅黑" w:cs="微软雅黑"/>
                <w:sz w:val="18"/>
                <w:szCs w:val="18"/>
              </w:rPr>
              <w:t>《2020年非上海生源应届普通高校毕业生进沪就业申请本市户籍评分办法》明确提出，在沪“世界一流大学建设高校”包括上海交通大学、复旦大学、同济大学、华东师范大学应届本科毕业生符合基本申报条件即可直接落户。本课题将以这四校高考录取分数线在政策前后的变化为切入点，建立计量经济学模型，探讨上海户口对全国不同地区的吸引力。</w:t>
            </w:r>
          </w:p>
          <w:p>
            <w:pPr>
              <w:pStyle w:val="4"/>
              <w:spacing w:before="0" w:beforeAutospacing="0" w:after="0" w:afterAutospacing="0"/>
              <w:rPr>
                <w:rFonts w:hint="eastAsia" w:ascii="微软雅黑" w:hAnsi="微软雅黑" w:eastAsia="微软雅黑" w:cs="微软雅黑"/>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老师指定</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孙丽华</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sunlihua@tongji.edu.cn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同济大厦A楼822室</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上海户口价值研究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16</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2020年“离婚新政策”对上海房地产市场影响研究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kern w:val="0"/>
                <w:sz w:val="18"/>
                <w:szCs w:val="18"/>
              </w:rPr>
            </w:pPr>
          </w:p>
          <w:p>
            <w:pP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上海有非常严格的住房限购及贷款政策。有一些上海家庭为了获得买房资格或者降低房贷首付比例，会采取“假离婚”的手段。但是，“假离婚”有很大的风险。民政部近日发出通知，对婚姻登记程序进行调整，在离婚程序中增加了1个月冷静期。这无疑会加重假离婚的成本。本课题希望比较这一政策实施前后上海新房摇号人群中单身人口比例的变化，研究上海市场上通过假离婚买房的家庭占整体买房人口的比重。</w:t>
            </w:r>
          </w:p>
          <w:p>
            <w:pPr>
              <w:rPr>
                <w:rFonts w:hint="eastAsia" w:ascii="微软雅黑" w:hAnsi="微软雅黑" w:eastAsia="微软雅黑" w:cs="微软雅黑"/>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老师指定</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孙丽华</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sunlihua@tongji.edu.cn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同济大厦A楼822室</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2020年“离婚新政策”对上海房地产市场影响研究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17</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上市公司套期保值数据库构建及套期保值数据的统计分析</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kern w:val="0"/>
                <w:sz w:val="18"/>
                <w:szCs w:val="18"/>
              </w:rPr>
            </w:pPr>
          </w:p>
          <w:p>
            <w:pPr>
              <w:widowControl/>
              <w:jc w:val="left"/>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持续跟踪上市公司套期保值公告发布情况，分析公告文本，提取关键信息构建上市公司套期保值数据库。结合上市公司地域分布、行业分布、财务状况等方面的数据，进行统计分析，揭示上市公司套期保值的动因、地域及行业分布等方面的差别。收集美英等国证券市场上市公司的套期保值数据，对上市公司套期保值情况进行国际比较研究。</w:t>
            </w:r>
          </w:p>
          <w:p>
            <w:pPr>
              <w:widowControl/>
              <w:jc w:val="left"/>
              <w:textAlignment w:val="center"/>
              <w:rPr>
                <w:rFonts w:hint="eastAsia" w:ascii="微软雅黑" w:hAnsi="微软雅黑" w:eastAsia="微软雅黑" w:cs="微软雅黑"/>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自拟</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马卫锋</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ma.wf@tongji.edu.cn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同济大厦A楼836</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上市公司套期保值数据库构建及套期保值数据的统计分析</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18</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具有思政元素的衍生品案例库建设</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kern w:val="0"/>
                <w:sz w:val="18"/>
                <w:szCs w:val="18"/>
              </w:rPr>
            </w:pPr>
          </w:p>
          <w:p>
            <w:pPr>
              <w:widowControl/>
              <w:jc w:val="left"/>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挖掘富含思政元素的衍生品市场相关案例，将职业道德与金融伦理与金融衍生品市场的相关理论知识融为一体，充分挖掘梳理课程的德育元素，提炼专业课程中蕴含的文化基因和价值范式，编写至少三个有助于树立正确的人生观、价值观、世界观的教学案例。</w:t>
            </w:r>
          </w:p>
          <w:p>
            <w:pPr>
              <w:widowControl/>
              <w:jc w:val="left"/>
              <w:textAlignment w:val="center"/>
              <w:rPr>
                <w:rFonts w:hint="eastAsia" w:ascii="微软雅黑" w:hAnsi="微软雅黑" w:eastAsia="微软雅黑" w:cs="微软雅黑"/>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自拟</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马卫锋</w:t>
            </w:r>
          </w:p>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ma.wf@tongji.edu.cn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同济大厦A楼836</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kern w:val="0"/>
                <w:sz w:val="18"/>
                <w:szCs w:val="18"/>
              </w:rPr>
              <w:t>具有思政元素的衍生品案例库建设</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19</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众筹项目融资绩效影响因素研究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众筹作为互联网金融六大模式之一，是指项目发起人利用互联网和社交网络的传播特性，向公众展示自己的创意，争取得到足够的认同和支持，募集公众资金的模式。然而已有研究发现仍有50%的项目融资失败，因此分析影响众筹项目成功的因素能够有效帮助项目筹资者提高融资成功率。</w:t>
            </w: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本项目基于顾客让渡价值理论构建理论模型，以国内最大的众筹网站“众筹网”为数据来源，通过网络爬虫技术从该网站抓取大量项目信息，并利用计量模型进行Logistic回归分析，从而得出影响众筹项目融资绩效的因素。</w:t>
            </w: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创新点：利用文本挖掘技术对描述信息进行处理，寻找预测项目成功的短语。此外，本项目将全面考虑项目类型、地理位置等因素，将丰富众筹领域的研究成果。</w:t>
            </w:r>
          </w:p>
          <w:p>
            <w:pPr>
              <w:widowControl/>
              <w:jc w:val="center"/>
              <w:textAlignment w:val="center"/>
              <w:rPr>
                <w:rFonts w:hint="eastAsia" w:ascii="微软雅黑" w:hAnsi="微软雅黑" w:eastAsia="微软雅黑" w:cs="微软雅黑"/>
                <w:b w:val="0"/>
                <w:bCs/>
                <w:kern w:val="0"/>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国家自然科学基金面上项目</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王洪伟</w:t>
            </w:r>
          </w:p>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hwwang@tongji.edu.cn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同济大厦A楼1918</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众筹项目融资绩效影响因素研究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中文在线问答社区答案质量评价研究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微软雅黑" w:hAnsi="微软雅黑" w:eastAsia="微软雅黑" w:cs="微软雅黑"/>
                <w:b w:val="0"/>
                <w:bCs/>
                <w:sz w:val="18"/>
                <w:szCs w:val="18"/>
              </w:rPr>
            </w:pPr>
          </w:p>
          <w:p>
            <w:pPr>
              <w:jc w:val="both"/>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经过五年的发展，“知乎”已成为国内规模最大，影响力最大，网站内容质量较高的问答社区。面对庞大的问答数据和用户数据，如何对答案质量进行正确合理的评价成为进一步提升社区质量，提高用户浏览效率和用户满意度的关键。</w:t>
            </w:r>
          </w:p>
          <w:p>
            <w:pPr>
              <w:jc w:val="both"/>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本项目结合“知乎”问答社区所具有的“知识性”和“社交性”两方面的特点，采用网络爬虫技术爬取网站的相关数据，从答案本身和回答者两个角度出发，考虑文本特征和非文本特征两个方面的因素，建立答案质量评价体系，对答案质量进行整体评价。</w:t>
            </w:r>
          </w:p>
          <w:p>
            <w:pPr>
              <w:jc w:val="both"/>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创新点：不仅对答案本身的文本特征进行研究，还通过非文本特征对回答者的社区影响力进行研究，符合“知乎”问答社区本身特点，可引导用户贡献高质量回答，提高社区质量及用户满意度。</w:t>
            </w:r>
          </w:p>
          <w:p>
            <w:pPr>
              <w:jc w:val="center"/>
              <w:rPr>
                <w:rFonts w:hint="eastAsia" w:ascii="微软雅黑" w:hAnsi="微软雅黑" w:eastAsia="微软雅黑" w:cs="微软雅黑"/>
                <w:b w:val="0"/>
                <w:bCs/>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国家自然科学基金面上项目</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王洪伟</w:t>
            </w:r>
          </w:p>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hwwang@tongji.edu.cn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同济大厦A楼1918</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中文在线问答社区答案质量评价研究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p>
          <w:p>
            <w:pPr>
              <w:widowControl/>
              <w:jc w:val="both"/>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基于本体的抑郁患者言论细粒度情感分析</w:t>
            </w:r>
          </w:p>
          <w:p>
            <w:pPr>
              <w:widowControl/>
              <w:jc w:val="center"/>
              <w:textAlignment w:val="center"/>
              <w:rPr>
                <w:rFonts w:hint="eastAsia" w:ascii="微软雅黑" w:hAnsi="微软雅黑" w:eastAsia="微软雅黑" w:cs="微软雅黑"/>
                <w:b w:val="0"/>
                <w:bCs/>
                <w:kern w:val="0"/>
                <w:sz w:val="18"/>
                <w:szCs w:val="18"/>
              </w:rPr>
            </w:pP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sz w:val="18"/>
                <w:szCs w:val="18"/>
              </w:rPr>
            </w:pPr>
          </w:p>
          <w:p>
            <w:pPr>
              <w:widowControl/>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随着社交网络平台的发展，越来越多的抑郁症患者尤其是年轻人偏向于在网络上抒发情绪。研究表明抑郁症患者往往更容易在社交网络中流露出抑郁倾向或者自杀意图，这种现象为抑郁症的研究提供了新的解决途径。目前，已有较多利用用户在社交网络上的行为和发布的文本进行用户心理健康分析的相关研究工作。</w:t>
            </w:r>
          </w:p>
          <w:p>
            <w:pPr>
              <w:widowControl/>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本研究的研究对象是百度贴吧中的“抑郁症吧”，通过网络爬虫技术爬取贴吧中的相关抑郁情绪文本，对抑郁患者在线上的言论进行细粒度情感分析，找到抑郁患者关注的话题，以及对于这些话题的情感倾向和情感强度。</w:t>
            </w:r>
          </w:p>
          <w:p>
            <w:pPr>
              <w:widowControl/>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创新点：本研究关注社会热点，从现实生活角度出发对社会问题进行研究，具有重要的实践意义。其次，目前细粒度情感分析的研究对象大多都是在线购物平台的商品评论，极少针对情绪言论，也是对情感分析进行新的尝试。</w:t>
            </w:r>
          </w:p>
          <w:p>
            <w:pPr>
              <w:widowControl/>
              <w:ind w:firstLine="360" w:firstLineChars="200"/>
              <w:jc w:val="center"/>
              <w:textAlignment w:val="center"/>
              <w:rPr>
                <w:rFonts w:hint="eastAsia" w:ascii="微软雅黑" w:hAnsi="微软雅黑" w:eastAsia="微软雅黑" w:cs="微软雅黑"/>
                <w:b w:val="0"/>
                <w:bCs/>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国家自然科学基金面上项目</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王洪伟</w:t>
            </w:r>
          </w:p>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hwwang@tongji.edu.cn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同济大厦A楼1918</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基于本体的抑郁患者言论细粒度情感分析</w:t>
            </w:r>
          </w:p>
          <w:p>
            <w:pPr>
              <w:widowControl/>
              <w:jc w:val="center"/>
              <w:textAlignment w:val="center"/>
              <w:rPr>
                <w:rFonts w:hint="eastAsia" w:ascii="微软雅黑" w:hAnsi="微软雅黑" w:eastAsia="微软雅黑" w:cs="微软雅黑"/>
                <w:b w:val="0"/>
                <w:bCs/>
                <w:kern w:val="0"/>
                <w:sz w:val="18"/>
                <w:szCs w:val="18"/>
              </w:rPr>
            </w:pP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短视频多维属性对顾客融入影响研究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sz w:val="18"/>
                <w:szCs w:val="18"/>
              </w:rPr>
            </w:pPr>
          </w:p>
          <w:p>
            <w:pPr>
              <w:widowControl/>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短视频凭借内容丰富、表达生动、简短便捷、传播迅速的几大优势，迅速赢得互联网用户的青睐，并在“在线购物”人群中形成广泛影响。然而到目前为止，短视频是怎样有效地使观看者产生顾客融入行为，仍是有待解决的重要问题。</w:t>
            </w:r>
          </w:p>
          <w:p>
            <w:pPr>
              <w:widowControl/>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本项目围绕短视频包含的视频主体、相关文字、用户关系等多维属性，分析其信息、表达、情感、发布者等因素，实现短视频内容理解。同时，构建短视频的多维属性对顾客融入作用的理论模型，并通过实证予以证明，帮助更好地理解和预测消费行为，为短视频营销提供决策支持。</w:t>
            </w:r>
          </w:p>
          <w:p>
            <w:pPr>
              <w:widowControl/>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创新点：利用视频处理技术对短视频内容进行理解，并探究其对顾客融入的影响因素，不仅丰富短视频内容理解领域的研究内容，同时为短视频营销提供可靠的决策支持。</w:t>
            </w:r>
          </w:p>
          <w:p>
            <w:pPr>
              <w:widowControl/>
              <w:jc w:val="center"/>
              <w:textAlignment w:val="center"/>
              <w:rPr>
                <w:rFonts w:hint="eastAsia" w:ascii="微软雅黑" w:hAnsi="微软雅黑" w:eastAsia="微软雅黑" w:cs="微软雅黑"/>
                <w:b w:val="0"/>
                <w:bCs/>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国家自然科学基金面上项目</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王洪伟</w:t>
            </w:r>
          </w:p>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hwwang@tongji.edu.cn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同济大厦A楼1918</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短视频多维属性对顾客融入影响研究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基于知识图谱的在线医疗平台问答推荐探究</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sz w:val="18"/>
                <w:szCs w:val="18"/>
              </w:rPr>
            </w:pPr>
          </w:p>
          <w:p>
            <w:pPr>
              <w:widowControl/>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近年来，在线医疗平台发展如火如荼。然而，互联网中的健康信息数量庞大且良莠不齐，使得人们难以快速找到所需健康知识。因此，对于相似问答的检索匹配探究，不但可以帮助顾客快速准确判别，也有助于平台长远发展。</w:t>
            </w:r>
          </w:p>
          <w:p>
            <w:pPr>
              <w:widowControl/>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本项目以“寻医问药”网作为数据来源，首先，对问答文本进行实体识别和关系提取，以构建出一个临床医疗领域知识图谱，为知识图谱问答推荐提供数据支撑。其次，搭建问答系统将用户问题解析之后提取的相关医疗实体展示出来，为用户所关心的实体提供额外信息补充，解决用户潜在需求。</w:t>
            </w:r>
          </w:p>
          <w:p>
            <w:pPr>
              <w:widowControl/>
              <w:jc w:val="both"/>
              <w:textAlignment w:val="center"/>
              <w:rPr>
                <w:rFonts w:hint="eastAsia" w:ascii="微软雅黑" w:hAnsi="微软雅黑" w:eastAsia="微软雅黑" w:cs="微软雅黑"/>
                <w:b w:val="0"/>
                <w:bCs/>
                <w:sz w:val="18"/>
                <w:szCs w:val="18"/>
              </w:rPr>
            </w:pPr>
            <w:r>
              <w:rPr>
                <w:rFonts w:hint="eastAsia" w:ascii="微软雅黑" w:hAnsi="微软雅黑" w:eastAsia="微软雅黑" w:cs="微软雅黑"/>
                <w:b w:val="0"/>
                <w:bCs/>
                <w:sz w:val="18"/>
                <w:szCs w:val="18"/>
              </w:rPr>
              <w:t>创新点：丰富了在线医疗平台中健康管理知识挖掘并实现了中文领域医疗知识图谱的构建；同时，拓展了基于知识图谱的在线医疗平台问答推荐方法的探究。</w:t>
            </w:r>
          </w:p>
          <w:p>
            <w:pPr>
              <w:widowControl/>
              <w:jc w:val="center"/>
              <w:textAlignment w:val="center"/>
              <w:rPr>
                <w:rFonts w:hint="eastAsia" w:ascii="微软雅黑" w:hAnsi="微软雅黑" w:eastAsia="微软雅黑" w:cs="微软雅黑"/>
                <w:b w:val="0"/>
                <w:bCs/>
                <w:sz w:val="18"/>
                <w:szCs w:val="18"/>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国家自然科学基金面上项目</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rPr>
            </w:pPr>
            <w:r>
              <w:rPr>
                <w:rFonts w:hint="eastAsia" w:ascii="微软雅黑" w:hAnsi="微软雅黑" w:eastAsia="微软雅黑" w:cs="微软雅黑"/>
                <w:b w:val="0"/>
                <w:bCs/>
                <w:color w:val="000000"/>
                <w:kern w:val="0"/>
                <w:sz w:val="18"/>
                <w:szCs w:val="18"/>
              </w:rPr>
              <w:t>王洪伟</w:t>
            </w:r>
          </w:p>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hwwang@tongji.edu.cn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同济大厦A楼1918</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kern w:val="0"/>
                <w:sz w:val="18"/>
                <w:szCs w:val="18"/>
              </w:rPr>
            </w:pPr>
            <w:r>
              <w:rPr>
                <w:rFonts w:hint="eastAsia" w:ascii="微软雅黑" w:hAnsi="微软雅黑" w:eastAsia="微软雅黑" w:cs="微软雅黑"/>
                <w:b w:val="0"/>
                <w:bCs/>
                <w:color w:val="000000"/>
                <w:kern w:val="0"/>
                <w:sz w:val="18"/>
                <w:szCs w:val="18"/>
              </w:rPr>
              <w:t>基于知识图谱的在线医疗平台问答推荐探究</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24</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装配式建筑施工作业系统的多级排队调度优化与仿真</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p>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装配式建筑是我国工程建造方式变革，是工程建设领域推动供给侧结构性改革的一个重要举措。在装配式建筑施工作业特征基础上，针对常见其施工作业全流程调度问题，构建多级排队模型，提出成本最优的调度安排，并且使用相应软件进行模拟仿真。装配式建筑的施工作业包括多个管理环节，每个环节都可能存在服务容量或生产能力的制约而出现瓶颈。每项作业活动都需要配置合理的劳动力和施工设施，需要占用一定的时间和空间，拟将装配式建筑施工作业流程看作为一个多级串联排队的马尔可夫链，通过排队模型分析其施工作业的全过程，揭示关键施工环节的工作瓶颈和相应资源的最优配置方案。</w:t>
            </w:r>
          </w:p>
          <w:p>
            <w:pPr>
              <w:widowControl/>
              <w:jc w:val="both"/>
              <w:textAlignment w:val="center"/>
              <w:rPr>
                <w:rFonts w:hint="eastAsia" w:ascii="微软雅黑" w:hAnsi="微软雅黑" w:eastAsia="微软雅黑" w:cs="微软雅黑"/>
                <w:b w:val="0"/>
                <w:bCs/>
                <w:color w:val="000000"/>
                <w:kern w:val="0"/>
                <w:sz w:val="18"/>
                <w:szCs w:val="18"/>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国家自然科学基金（71971158）</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胡文发</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wenfahu@sina.com</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A1002</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装配式建筑施工作业系统的多级排队调度优化与仿真</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25</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供给侧改革对房地产企业经营战略与盈利能力的影响</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p>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供给侧结构性改革促使企业提升其竞争力能力，激发企业的活力和创造力。供给侧结构性改革的措施包括“化解过剩产能”与“化解房地产库存”，均是针对房地产行业，是供给侧结构性改革的重要实践部分。供给侧结构性改革应从效率、技术等方向对企业进行改革，实现资源配置的合理化和高效化。供给侧产业结构的转变，必须实现经济增长要素由投入驱动向创新驱动的转变，即由主要依靠土地、资源、劳动力等普通要素转向依靠技术、信息、管理等战略要素。供给侧结构性改革促使房地产企业的经营发展战略变化。拟调查近十年来房地产上市公司的数据，采用DEA模型，从技术、信息、管理三个维度来度量房地产企业的盈利能力及其影响因素。</w:t>
            </w:r>
          </w:p>
          <w:p>
            <w:pPr>
              <w:widowControl/>
              <w:jc w:val="both"/>
              <w:textAlignment w:val="center"/>
              <w:rPr>
                <w:rFonts w:hint="eastAsia" w:ascii="微软雅黑" w:hAnsi="微软雅黑" w:eastAsia="微软雅黑" w:cs="微软雅黑"/>
                <w:b w:val="0"/>
                <w:bCs/>
                <w:color w:val="000000"/>
                <w:kern w:val="0"/>
                <w:sz w:val="18"/>
                <w:szCs w:val="18"/>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国家自然科学基金（71971158）</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胡文发</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wenfahu@sina.com</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A1002</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供给侧改革对房地产企业经营战略与盈利能力的影响</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26</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重大突发公共卫生事件区域基础设施关联保障网络构建</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p>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重大突发公共卫生事件通常在短时间爆发、迅速扩散、波及范围广、影响受众广、防控难度高、事件后果严重，具有相对复杂的情景特征。单一地区或类型的基础设施难以有效应对重大突发公共卫生事件带来的巨大挑战，必须跨区域跨行业构建区域基础设施关联保障网络，实现基础设施动态关联和功能集成，满足应急管理不同层次的需求。本项目计划基于对于应急管理不同主体不同阶段的需求分析，从设施层、服务层和社会层将应急管理需求与相关基础设施进行系统匹配，有效识别满足不同应急管理需求的关键基础设施。系统分析基础设施单元间的物理、地理、信息、逻辑以及应急管理需求关系并进行关联关系量化，构建重大突发公共卫生事件区域基础设施关联保障网络。</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国家社会科学基金项目</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肖超</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助理研究员</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chaoxiao@tongji.edu.cn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 xml:space="preserve">同济大厦A楼2008 </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重大突发公共卫生事件区域基础设施关联保障网络构建</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27</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城乡融合发展战略下城市管网与河道多元协同治理机制研究</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p>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通过太湖新城典型案例的深入调研，剖析传统模式下，快速城镇化区域的城市管网子系统与河道水网子系统管理分离所导致的诸多问题。基于区域治理理念，以太湖新城区域（180km2）流域治理作为范例，探索流域（区域）生态治理一体化模式及路径，吸引产业资本参与，构建“价值共创、风险共担、成本共摊、效益共享”的多元协同治理新模式。</w:t>
            </w:r>
          </w:p>
          <w:p>
            <w:pPr>
              <w:widowControl/>
              <w:jc w:val="both"/>
              <w:textAlignment w:val="center"/>
              <w:rPr>
                <w:rFonts w:hint="eastAsia" w:ascii="微软雅黑" w:hAnsi="微软雅黑" w:eastAsia="微软雅黑" w:cs="微软雅黑"/>
                <w:b w:val="0"/>
                <w:bCs/>
                <w:color w:val="000000"/>
                <w:kern w:val="0"/>
                <w:sz w:val="18"/>
                <w:szCs w:val="18"/>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国家社科基金课题</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唐代中</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tdzhong@tongji.edu.cn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同济大厦A楼1028</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如果需要实地调研，课题组另外安排调研资金。</w:t>
            </w:r>
          </w:p>
        </w:tc>
      </w:tr>
      <w:tr>
        <w:tblPrEx>
          <w:tblCellMar>
            <w:top w:w="15" w:type="dxa"/>
            <w:left w:w="15" w:type="dxa"/>
            <w:bottom w:w="15" w:type="dxa"/>
            <w:right w:w="15" w:type="dxa"/>
          </w:tblCellMar>
        </w:tblPrEx>
        <w:trPr>
          <w:trHeight w:val="705" w:hRule="atLeast"/>
        </w:trPr>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28</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环太湖区域科技成果转化路径及优化策略研究——以水环境领域为例</w:t>
            </w:r>
          </w:p>
        </w:tc>
        <w:tc>
          <w:tcPr>
            <w:tcW w:w="425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微软雅黑" w:hAnsi="微软雅黑" w:eastAsia="微软雅黑" w:cs="微软雅黑"/>
                <w:b w:val="0"/>
                <w:bCs/>
                <w:color w:val="000000"/>
                <w:kern w:val="0"/>
                <w:sz w:val="18"/>
                <w:szCs w:val="18"/>
                <w:lang w:val="en-US" w:eastAsia="zh-CN"/>
              </w:rPr>
            </w:pPr>
          </w:p>
          <w:p>
            <w:pPr>
              <w:widowControl/>
              <w:jc w:val="both"/>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结合水环境治理典型案例的国内外经验和启示，提出我国水环境治理领域科技成果转化的参考模式。综合由资源要素协同、创新主体协同和方式协同组成的协同创新效应模型，根据水环境治理领域协同创新的主体共生机制、过程评估机制、市场转化机制（招投标机制）提出适合水环境治理领域科技成果转化的有效路径及优化策略。</w:t>
            </w:r>
          </w:p>
          <w:p>
            <w:pPr>
              <w:widowControl/>
              <w:jc w:val="both"/>
              <w:textAlignment w:val="center"/>
              <w:rPr>
                <w:rFonts w:hint="eastAsia" w:ascii="微软雅黑" w:hAnsi="微软雅黑" w:eastAsia="微软雅黑" w:cs="微软雅黑"/>
                <w:b w:val="0"/>
                <w:bCs/>
                <w:color w:val="000000"/>
                <w:kern w:val="0"/>
                <w:sz w:val="18"/>
                <w:szCs w:val="18"/>
                <w:lang w:val="en-US" w:eastAsia="zh-CN"/>
              </w:rPr>
            </w:pP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国家社科基金课题</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唐代中</w:t>
            </w:r>
          </w:p>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副教授</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tdzhong@tongji.edu.cn</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同济大厦A楼1028</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b w:val="0"/>
                <w:bCs/>
                <w:color w:val="000000"/>
                <w:kern w:val="0"/>
                <w:sz w:val="18"/>
                <w:szCs w:val="18"/>
                <w:lang w:val="en-US" w:eastAsia="zh-CN"/>
              </w:rPr>
            </w:pPr>
            <w:r>
              <w:rPr>
                <w:rFonts w:hint="eastAsia" w:ascii="微软雅黑" w:hAnsi="微软雅黑" w:eastAsia="微软雅黑" w:cs="微软雅黑"/>
                <w:b w:val="0"/>
                <w:bCs/>
                <w:color w:val="000000"/>
                <w:kern w:val="0"/>
                <w:sz w:val="18"/>
                <w:szCs w:val="18"/>
                <w:lang w:val="en-US" w:eastAsia="zh-CN"/>
              </w:rPr>
              <w:t>如果需要实地调研，课题组另外安排调研资金。</w:t>
            </w:r>
          </w:p>
        </w:tc>
      </w:tr>
    </w:tbl>
    <w:p>
      <w:pPr>
        <w:rPr>
          <w:rFonts w:hint="eastAsia" w:ascii="微软雅黑" w:hAnsi="微软雅黑" w:eastAsia="微软雅黑" w:cs="微软雅黑"/>
          <w:sz w:val="18"/>
          <w:szCs w:val="18"/>
        </w:rPr>
      </w:pPr>
    </w:p>
    <w:sectPr>
      <w:pgSz w:w="16838" w:h="11906" w:orient="landscape"/>
      <w:pgMar w:top="1800" w:right="1440" w:bottom="180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EB41F6"/>
    <w:rsid w:val="002673CE"/>
    <w:rsid w:val="002C12FF"/>
    <w:rsid w:val="00334C9E"/>
    <w:rsid w:val="003359EE"/>
    <w:rsid w:val="003B420F"/>
    <w:rsid w:val="00471AC6"/>
    <w:rsid w:val="004C4432"/>
    <w:rsid w:val="0056747B"/>
    <w:rsid w:val="005757CA"/>
    <w:rsid w:val="005D4646"/>
    <w:rsid w:val="005F0082"/>
    <w:rsid w:val="005F7505"/>
    <w:rsid w:val="00620185"/>
    <w:rsid w:val="0063293F"/>
    <w:rsid w:val="00632C4C"/>
    <w:rsid w:val="006434DD"/>
    <w:rsid w:val="0076277C"/>
    <w:rsid w:val="0096632F"/>
    <w:rsid w:val="009F7650"/>
    <w:rsid w:val="00AE12B2"/>
    <w:rsid w:val="00B5533B"/>
    <w:rsid w:val="00B659B1"/>
    <w:rsid w:val="00D85771"/>
    <w:rsid w:val="00F2619A"/>
    <w:rsid w:val="013C4AB5"/>
    <w:rsid w:val="015819ED"/>
    <w:rsid w:val="020F4C91"/>
    <w:rsid w:val="026F0FF8"/>
    <w:rsid w:val="05312B3F"/>
    <w:rsid w:val="05EF33AD"/>
    <w:rsid w:val="06A134AE"/>
    <w:rsid w:val="08380F19"/>
    <w:rsid w:val="08892F5B"/>
    <w:rsid w:val="095C2FB9"/>
    <w:rsid w:val="0A464F32"/>
    <w:rsid w:val="0BEB55F2"/>
    <w:rsid w:val="0C8C2421"/>
    <w:rsid w:val="0CFB2472"/>
    <w:rsid w:val="0D1C614A"/>
    <w:rsid w:val="0E4C6499"/>
    <w:rsid w:val="0FEB5713"/>
    <w:rsid w:val="10967A03"/>
    <w:rsid w:val="120F2255"/>
    <w:rsid w:val="127E446B"/>
    <w:rsid w:val="12915C8A"/>
    <w:rsid w:val="12CB271C"/>
    <w:rsid w:val="134021D7"/>
    <w:rsid w:val="13FF1C4E"/>
    <w:rsid w:val="145615F0"/>
    <w:rsid w:val="14B3147C"/>
    <w:rsid w:val="14DA34C7"/>
    <w:rsid w:val="153D3D61"/>
    <w:rsid w:val="15D5173A"/>
    <w:rsid w:val="160D66E3"/>
    <w:rsid w:val="175E0E48"/>
    <w:rsid w:val="18036C8E"/>
    <w:rsid w:val="19F7363A"/>
    <w:rsid w:val="1A7A5830"/>
    <w:rsid w:val="1B3130F4"/>
    <w:rsid w:val="1B3523B4"/>
    <w:rsid w:val="1B8A68AE"/>
    <w:rsid w:val="1C630B7F"/>
    <w:rsid w:val="1CD358D2"/>
    <w:rsid w:val="1D472D63"/>
    <w:rsid w:val="1D791F68"/>
    <w:rsid w:val="1ED83E8D"/>
    <w:rsid w:val="202B1748"/>
    <w:rsid w:val="204B501D"/>
    <w:rsid w:val="2070359E"/>
    <w:rsid w:val="22D1443B"/>
    <w:rsid w:val="23F37138"/>
    <w:rsid w:val="243D69C5"/>
    <w:rsid w:val="24F748BF"/>
    <w:rsid w:val="253D6783"/>
    <w:rsid w:val="26790FA6"/>
    <w:rsid w:val="27301BC5"/>
    <w:rsid w:val="274D2C9B"/>
    <w:rsid w:val="27AF6560"/>
    <w:rsid w:val="28067F75"/>
    <w:rsid w:val="28357F40"/>
    <w:rsid w:val="289D3AAE"/>
    <w:rsid w:val="294539E1"/>
    <w:rsid w:val="296276FF"/>
    <w:rsid w:val="2B8F009C"/>
    <w:rsid w:val="2BA323A7"/>
    <w:rsid w:val="2BAE0B5E"/>
    <w:rsid w:val="2C315003"/>
    <w:rsid w:val="2C387480"/>
    <w:rsid w:val="2C895BE9"/>
    <w:rsid w:val="2DCE6596"/>
    <w:rsid w:val="2EBD5152"/>
    <w:rsid w:val="2EC8193A"/>
    <w:rsid w:val="2F283BDA"/>
    <w:rsid w:val="302D68CB"/>
    <w:rsid w:val="316C639F"/>
    <w:rsid w:val="32296BE3"/>
    <w:rsid w:val="32322DD0"/>
    <w:rsid w:val="32BC1029"/>
    <w:rsid w:val="351C6D6C"/>
    <w:rsid w:val="35A70907"/>
    <w:rsid w:val="361A0D62"/>
    <w:rsid w:val="36637B65"/>
    <w:rsid w:val="36AE36B2"/>
    <w:rsid w:val="37F60319"/>
    <w:rsid w:val="3A7A2FBC"/>
    <w:rsid w:val="3B8E5E9F"/>
    <w:rsid w:val="3BFB2AA8"/>
    <w:rsid w:val="3C414178"/>
    <w:rsid w:val="3C890CF2"/>
    <w:rsid w:val="3CE2465F"/>
    <w:rsid w:val="3E3C3D60"/>
    <w:rsid w:val="3EDE0F98"/>
    <w:rsid w:val="3EF61627"/>
    <w:rsid w:val="401E5EB0"/>
    <w:rsid w:val="40EC1897"/>
    <w:rsid w:val="412A04A7"/>
    <w:rsid w:val="422014E9"/>
    <w:rsid w:val="433F097D"/>
    <w:rsid w:val="43416528"/>
    <w:rsid w:val="437D0766"/>
    <w:rsid w:val="441E3B88"/>
    <w:rsid w:val="44A7229E"/>
    <w:rsid w:val="450911B3"/>
    <w:rsid w:val="45567E2E"/>
    <w:rsid w:val="46C8350D"/>
    <w:rsid w:val="48A43788"/>
    <w:rsid w:val="491E7C1C"/>
    <w:rsid w:val="492D0B1F"/>
    <w:rsid w:val="49897619"/>
    <w:rsid w:val="4A2B4A32"/>
    <w:rsid w:val="4A5E5106"/>
    <w:rsid w:val="4ABD4024"/>
    <w:rsid w:val="4B6D5598"/>
    <w:rsid w:val="4B907A28"/>
    <w:rsid w:val="4C761450"/>
    <w:rsid w:val="4D462380"/>
    <w:rsid w:val="4D6D05D2"/>
    <w:rsid w:val="4E3E2769"/>
    <w:rsid w:val="4FE2097C"/>
    <w:rsid w:val="505E400E"/>
    <w:rsid w:val="50791394"/>
    <w:rsid w:val="51383331"/>
    <w:rsid w:val="517C1120"/>
    <w:rsid w:val="52632F1C"/>
    <w:rsid w:val="567B62E2"/>
    <w:rsid w:val="56830E6A"/>
    <w:rsid w:val="570D76CC"/>
    <w:rsid w:val="5AEE2457"/>
    <w:rsid w:val="5B060CE9"/>
    <w:rsid w:val="5B76202B"/>
    <w:rsid w:val="5C6B452B"/>
    <w:rsid w:val="5D55359A"/>
    <w:rsid w:val="5D5F560C"/>
    <w:rsid w:val="5D633BF1"/>
    <w:rsid w:val="5D9C0667"/>
    <w:rsid w:val="5E442613"/>
    <w:rsid w:val="5F235C5A"/>
    <w:rsid w:val="5F3F1C7B"/>
    <w:rsid w:val="5F4A5187"/>
    <w:rsid w:val="5FAA3898"/>
    <w:rsid w:val="60A36444"/>
    <w:rsid w:val="60B4075D"/>
    <w:rsid w:val="61204F66"/>
    <w:rsid w:val="61E72E6D"/>
    <w:rsid w:val="62445C9D"/>
    <w:rsid w:val="62A41436"/>
    <w:rsid w:val="631E682C"/>
    <w:rsid w:val="63BA3388"/>
    <w:rsid w:val="651A291D"/>
    <w:rsid w:val="67681AD4"/>
    <w:rsid w:val="68C76A93"/>
    <w:rsid w:val="69157486"/>
    <w:rsid w:val="693323DE"/>
    <w:rsid w:val="69785A2B"/>
    <w:rsid w:val="69BB1854"/>
    <w:rsid w:val="69CA6457"/>
    <w:rsid w:val="69D93503"/>
    <w:rsid w:val="6B756581"/>
    <w:rsid w:val="6BEB41F6"/>
    <w:rsid w:val="6CA52992"/>
    <w:rsid w:val="6CE106AE"/>
    <w:rsid w:val="6D2437D5"/>
    <w:rsid w:val="6E5464B4"/>
    <w:rsid w:val="6F54325C"/>
    <w:rsid w:val="703049D0"/>
    <w:rsid w:val="70C20908"/>
    <w:rsid w:val="711F4751"/>
    <w:rsid w:val="713215B8"/>
    <w:rsid w:val="713E2622"/>
    <w:rsid w:val="715A2A61"/>
    <w:rsid w:val="71C45451"/>
    <w:rsid w:val="729B34F8"/>
    <w:rsid w:val="72AD7CAC"/>
    <w:rsid w:val="72F23718"/>
    <w:rsid w:val="737619FB"/>
    <w:rsid w:val="73F77628"/>
    <w:rsid w:val="7406501B"/>
    <w:rsid w:val="757B6BDF"/>
    <w:rsid w:val="76545AC8"/>
    <w:rsid w:val="768B3895"/>
    <w:rsid w:val="76A346E2"/>
    <w:rsid w:val="76E131D5"/>
    <w:rsid w:val="79EB5A58"/>
    <w:rsid w:val="7A535A7F"/>
    <w:rsid w:val="7A7F1019"/>
    <w:rsid w:val="7AA47084"/>
    <w:rsid w:val="7B152B6F"/>
    <w:rsid w:val="7B6A7573"/>
    <w:rsid w:val="7BC67C52"/>
    <w:rsid w:val="7C1F657A"/>
    <w:rsid w:val="7C392A70"/>
    <w:rsid w:val="7E150E48"/>
    <w:rsid w:val="7E4A6A5B"/>
    <w:rsid w:val="7E897231"/>
    <w:rsid w:val="7E8B26E9"/>
    <w:rsid w:val="7EE0520A"/>
    <w:rsid w:val="7F40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Emphasis"/>
    <w:basedOn w:val="6"/>
    <w:qFormat/>
    <w:uiPriority w:val="0"/>
    <w:rPr>
      <w:i/>
      <w:iCs/>
    </w:rPr>
  </w:style>
  <w:style w:type="paragraph" w:customStyle="1" w:styleId="9">
    <w:name w:val="List Paragraph"/>
    <w:basedOn w:val="1"/>
    <w:qFormat/>
    <w:uiPriority w:val="99"/>
    <w:pPr>
      <w:ind w:firstLine="420" w:firstLineChars="200"/>
    </w:pPr>
  </w:style>
  <w:style w:type="character" w:customStyle="1" w:styleId="10">
    <w:name w:val="页眉 字符"/>
    <w:basedOn w:val="6"/>
    <w:link w:val="3"/>
    <w:qFormat/>
    <w:uiPriority w:val="0"/>
    <w:rPr>
      <w:rFonts w:ascii="Times New Roman" w:hAnsi="Times New Roman" w:eastAsia="宋体" w:cs="Times New Roman"/>
      <w:kern w:val="2"/>
      <w:sz w:val="18"/>
      <w:szCs w:val="18"/>
    </w:rPr>
  </w:style>
  <w:style w:type="character" w:customStyle="1" w:styleId="11">
    <w:name w:val="页脚 字符"/>
    <w:basedOn w:val="6"/>
    <w:link w:val="2"/>
    <w:qFormat/>
    <w:uiPriority w:val="0"/>
    <w:rPr>
      <w:rFonts w:ascii="Times New Roman" w:hAnsi="Times New Roman" w:eastAsia="宋体" w:cs="Times New Roman"/>
      <w:kern w:val="2"/>
      <w:sz w:val="18"/>
      <w:szCs w:val="18"/>
    </w:rPr>
  </w:style>
  <w:style w:type="character" w:customStyle="1" w:styleId="12">
    <w:name w:val="Subtle Emphasis"/>
    <w:basedOn w:val="6"/>
    <w:qFormat/>
    <w:uiPriority w:val="19"/>
    <w:rPr>
      <w:i/>
      <w:iCs/>
      <w:color w:val="404040" w:themeColor="text1" w:themeTint="BF"/>
      <w14:textFill>
        <w14:solidFill>
          <w14:schemeClr w14:val="tx1">
            <w14:lumMod w14:val="75000"/>
            <w14:lumOff w14:val="25000"/>
          </w14:schemeClr>
        </w14:solidFill>
      </w14:textFill>
    </w:rPr>
  </w:style>
  <w:style w:type="character" w:customStyle="1" w:styleId="13">
    <w:name w:val="txt61"/>
    <w:qFormat/>
    <w:uiPriority w:val="0"/>
    <w:rPr>
      <w:rFonts w:hint="default"/>
      <w:color w:val="333333"/>
      <w:spacing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E2F0C-AC55-4173-87EA-5DB6998496B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1430</Words>
  <Characters>8155</Characters>
  <Lines>67</Lines>
  <Paragraphs>19</Paragraphs>
  <TotalTime>4</TotalTime>
  <ScaleCrop>false</ScaleCrop>
  <LinksUpToDate>false</LinksUpToDate>
  <CharactersWithSpaces>9566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2017-11-30T09:46:00Z</dcterms:created>
  <dc:creator>chenhy</dc:creator>
  <cp:lastModifiedBy>Administrator</cp:lastModifiedBy>
  <dcterms:modified xsi:type="dcterms:W3CDTF">2021-01-06T02:27:11Z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